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E1B30" w:rsidRPr="008E1B30" w:rsidTr="008E1B30">
        <w:tc>
          <w:tcPr>
            <w:tcW w:w="5000" w:type="pct"/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3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B30" w:rsidRPr="008E1B30" w:rsidTr="008E1B30">
        <w:tc>
          <w:tcPr>
            <w:tcW w:w="5000" w:type="pct"/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КАБІНЕТ МІНІСТРІВ УКРАЇНИ</w:t>
            </w:r>
            <w:r w:rsidRPr="008E1B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1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РОЗПОРЯДЖЕННЯ</w:t>
            </w:r>
          </w:p>
        </w:tc>
      </w:tr>
      <w:tr w:rsidR="008E1B30" w:rsidRPr="008E1B30" w:rsidTr="008E1B30">
        <w:tc>
          <w:tcPr>
            <w:tcW w:w="5000" w:type="pct"/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 4 серпня 2021 р. № 898-р</w:t>
            </w:r>
            <w:r w:rsidRPr="008E1B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1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Київ</w:t>
            </w:r>
          </w:p>
        </w:tc>
      </w:tr>
    </w:tbl>
    <w:p w:rsidR="008E1B30" w:rsidRPr="008E1B30" w:rsidRDefault="008E1B30" w:rsidP="008E1B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n3"/>
      <w:bookmarkEnd w:id="0"/>
      <w:r w:rsidRPr="008E1B30">
        <w:rPr>
          <w:rFonts w:ascii="Times New Roman" w:hAnsi="Times New Roman" w:cs="Times New Roman"/>
          <w:b/>
          <w:bCs/>
          <w:sz w:val="28"/>
          <w:szCs w:val="28"/>
        </w:rPr>
        <w:t>Про затвердження плану заходів щодо реалізації Декларації про безпеку шкіл</w:t>
      </w:r>
    </w:p>
    <w:p w:rsidR="008E1B30" w:rsidRPr="008E1B30" w:rsidRDefault="008E1B30" w:rsidP="008E1B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n14"/>
      <w:bookmarkEnd w:id="1"/>
      <w:r w:rsidRPr="008E1B30">
        <w:rPr>
          <w:rFonts w:ascii="Times New Roman" w:hAnsi="Times New Roman" w:cs="Times New Roman"/>
          <w:sz w:val="24"/>
          <w:szCs w:val="24"/>
        </w:rPr>
        <w:t>{Із змінами, внесеними згідно з Розпорядженнями КМ</w:t>
      </w:r>
      <w:r w:rsidRPr="008E1B30">
        <w:rPr>
          <w:rFonts w:ascii="Times New Roman" w:hAnsi="Times New Roman" w:cs="Times New Roman"/>
          <w:sz w:val="24"/>
          <w:szCs w:val="24"/>
        </w:rPr>
        <w:br/>
      </w:r>
      <w:hyperlink r:id="rId5" w:anchor="n2" w:tgtFrame="_blank" w:history="1">
        <w:r w:rsidRPr="008E1B30">
          <w:rPr>
            <w:rStyle w:val="a3"/>
            <w:rFonts w:ascii="Times New Roman" w:hAnsi="Times New Roman" w:cs="Times New Roman"/>
            <w:sz w:val="24"/>
            <w:szCs w:val="24"/>
          </w:rPr>
          <w:t>№ 655-р від 28.07.2023</w:t>
        </w:r>
      </w:hyperlink>
      <w:r w:rsidRPr="008E1B30">
        <w:rPr>
          <w:rFonts w:ascii="Times New Roman" w:hAnsi="Times New Roman" w:cs="Times New Roman"/>
          <w:sz w:val="24"/>
          <w:szCs w:val="24"/>
        </w:rPr>
        <w:br/>
      </w:r>
      <w:hyperlink r:id="rId6" w:anchor="n2" w:tgtFrame="_blank" w:history="1">
        <w:r w:rsidRPr="008E1B30">
          <w:rPr>
            <w:rStyle w:val="a3"/>
            <w:rFonts w:ascii="Times New Roman" w:hAnsi="Times New Roman" w:cs="Times New Roman"/>
            <w:sz w:val="24"/>
            <w:szCs w:val="24"/>
          </w:rPr>
          <w:t>№ 278-р від 29.03.2024</w:t>
        </w:r>
      </w:hyperlink>
      <w:r w:rsidRPr="008E1B30">
        <w:rPr>
          <w:rFonts w:ascii="Times New Roman" w:hAnsi="Times New Roman" w:cs="Times New Roman"/>
          <w:sz w:val="24"/>
          <w:szCs w:val="24"/>
        </w:rPr>
        <w:t>}</w:t>
      </w:r>
    </w:p>
    <w:p w:rsidR="008E1B30" w:rsidRPr="008E1B30" w:rsidRDefault="008E1B30" w:rsidP="008E1B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n4"/>
      <w:bookmarkEnd w:id="2"/>
      <w:r w:rsidRPr="008E1B30">
        <w:rPr>
          <w:rFonts w:ascii="Times New Roman" w:hAnsi="Times New Roman" w:cs="Times New Roman"/>
          <w:sz w:val="24"/>
          <w:szCs w:val="24"/>
        </w:rPr>
        <w:t>1. Затвердити </w:t>
      </w:r>
      <w:hyperlink r:id="rId7" w:anchor="n10" w:history="1">
        <w:r w:rsidRPr="008E1B30">
          <w:rPr>
            <w:rStyle w:val="a3"/>
            <w:rFonts w:ascii="Times New Roman" w:hAnsi="Times New Roman" w:cs="Times New Roman"/>
            <w:sz w:val="24"/>
            <w:szCs w:val="24"/>
          </w:rPr>
          <w:t>план заходів щодо реалізації Декларації про безпеку шкіл</w:t>
        </w:r>
      </w:hyperlink>
      <w:r w:rsidRPr="008E1B30">
        <w:rPr>
          <w:rFonts w:ascii="Times New Roman" w:hAnsi="Times New Roman" w:cs="Times New Roman"/>
          <w:sz w:val="24"/>
          <w:szCs w:val="24"/>
        </w:rPr>
        <w:t>, що додається.</w:t>
      </w:r>
    </w:p>
    <w:p w:rsidR="008E1B30" w:rsidRPr="008E1B30" w:rsidRDefault="008E1B30" w:rsidP="008E1B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n5"/>
      <w:bookmarkEnd w:id="3"/>
      <w:r w:rsidRPr="008E1B30">
        <w:rPr>
          <w:rFonts w:ascii="Times New Roman" w:hAnsi="Times New Roman" w:cs="Times New Roman"/>
          <w:sz w:val="24"/>
          <w:szCs w:val="24"/>
        </w:rPr>
        <w:t>2. Міністерствам, іншим центральним органам виконавчої влади, обласним державним адміністраціям (військовим адміністраціям):</w:t>
      </w:r>
    </w:p>
    <w:p w:rsidR="008E1B30" w:rsidRPr="008E1B30" w:rsidRDefault="008E1B30" w:rsidP="008E1B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n16"/>
      <w:bookmarkEnd w:id="4"/>
      <w:r w:rsidRPr="008E1B30">
        <w:rPr>
          <w:rFonts w:ascii="Times New Roman" w:hAnsi="Times New Roman" w:cs="Times New Roman"/>
          <w:i/>
          <w:iCs/>
          <w:sz w:val="24"/>
          <w:szCs w:val="24"/>
        </w:rPr>
        <w:t>{Абзац перший пункту 2 із змінами, внесеними згідно з Розпорядженням КМ </w:t>
      </w:r>
      <w:hyperlink r:id="rId8" w:anchor="n10" w:tgtFrame="_blank" w:history="1">
        <w:r w:rsidRPr="008E1B3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№ 278-р від 29.03.2024</w:t>
        </w:r>
      </w:hyperlink>
      <w:r w:rsidRPr="008E1B30">
        <w:rPr>
          <w:rFonts w:ascii="Times New Roman" w:hAnsi="Times New Roman" w:cs="Times New Roman"/>
          <w:i/>
          <w:iCs/>
          <w:sz w:val="24"/>
          <w:szCs w:val="24"/>
        </w:rPr>
        <w:t>}</w:t>
      </w:r>
    </w:p>
    <w:p w:rsidR="008E1B30" w:rsidRPr="008E1B30" w:rsidRDefault="008E1B30" w:rsidP="008E1B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n6"/>
      <w:bookmarkEnd w:id="5"/>
      <w:r w:rsidRPr="008E1B30">
        <w:rPr>
          <w:rFonts w:ascii="Times New Roman" w:hAnsi="Times New Roman" w:cs="Times New Roman"/>
          <w:sz w:val="24"/>
          <w:szCs w:val="24"/>
        </w:rPr>
        <w:t>забезпечити виконання плану заходів, затвердженого цим розпорядженням;</w:t>
      </w:r>
    </w:p>
    <w:p w:rsidR="008E1B30" w:rsidRPr="008E1B30" w:rsidRDefault="008E1B30" w:rsidP="008E1B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n7"/>
      <w:bookmarkEnd w:id="6"/>
      <w:r w:rsidRPr="008E1B30">
        <w:rPr>
          <w:rFonts w:ascii="Times New Roman" w:hAnsi="Times New Roman" w:cs="Times New Roman"/>
          <w:sz w:val="24"/>
          <w:szCs w:val="24"/>
        </w:rPr>
        <w:t>інформувати щороку до 15 січня Міністерство освіти і науки про стан виконання зазначеного плану заходів для подання до 15 лютого Кабінетові Міністрів України узагальненої інформації.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747"/>
      </w:tblGrid>
      <w:tr w:rsidR="008E1B30" w:rsidRPr="008E1B30" w:rsidTr="008E1B30">
        <w:tc>
          <w:tcPr>
            <w:tcW w:w="1500" w:type="pct"/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n8"/>
            <w:bookmarkEnd w:id="7"/>
            <w:r w:rsidRPr="008E1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8E1B30" w:rsidRPr="008E1B30" w:rsidTr="008E1B30">
        <w:tc>
          <w:tcPr>
            <w:tcW w:w="0" w:type="auto"/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Інд. 73</w:t>
            </w:r>
          </w:p>
        </w:tc>
        <w:tc>
          <w:tcPr>
            <w:tcW w:w="0" w:type="auto"/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8E1B30" w:rsidRPr="008E1B30" w:rsidRDefault="008E1B30" w:rsidP="008E1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B30">
        <w:rPr>
          <w:rFonts w:ascii="Times New Roman" w:hAnsi="Times New Roman" w:cs="Times New Roman"/>
          <w:sz w:val="24"/>
          <w:szCs w:val="24"/>
        </w:rPr>
        <w:pict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8E1B30" w:rsidRPr="008E1B30" w:rsidTr="008E1B30">
        <w:tc>
          <w:tcPr>
            <w:tcW w:w="2000" w:type="pct"/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n13"/>
            <w:bookmarkStart w:id="9" w:name="n9"/>
            <w:bookmarkEnd w:id="8"/>
            <w:bookmarkEnd w:id="9"/>
            <w:r w:rsidRPr="008E1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000" w:type="pct"/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розпорядженням Кабінету Міністрів України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 4 серпня 2021 р. № 898-р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редакції розпорядження Кабінету Міністрів України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anchor="n13" w:tgtFrame="_blank" w:history="1">
              <w:r w:rsidRPr="008E1B30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від 29 березня 2024 р. № 278-р</w:t>
              </w:r>
            </w:hyperlink>
            <w:r w:rsidRPr="008E1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8E1B30" w:rsidRPr="008E1B30" w:rsidRDefault="008E1B30" w:rsidP="008E1B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n10"/>
      <w:bookmarkEnd w:id="10"/>
      <w:r w:rsidRPr="008E1B30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8E1B30">
        <w:rPr>
          <w:rFonts w:ascii="Times New Roman" w:hAnsi="Times New Roman" w:cs="Times New Roman"/>
          <w:sz w:val="24"/>
          <w:szCs w:val="24"/>
        </w:rPr>
        <w:br/>
      </w:r>
      <w:r w:rsidRPr="008E1B30">
        <w:rPr>
          <w:rFonts w:ascii="Times New Roman" w:hAnsi="Times New Roman" w:cs="Times New Roman"/>
          <w:b/>
          <w:bCs/>
          <w:sz w:val="24"/>
          <w:szCs w:val="24"/>
        </w:rPr>
        <w:t>заходів щодо реалізації Декларації про безпеку шкіл</w:t>
      </w:r>
    </w:p>
    <w:tbl>
      <w:tblPr>
        <w:tblW w:w="5646" w:type="pct"/>
        <w:tblInd w:w="-9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3124"/>
        <w:gridCol w:w="927"/>
        <w:gridCol w:w="1611"/>
        <w:gridCol w:w="3598"/>
        <w:gridCol w:w="1328"/>
        <w:gridCol w:w="17"/>
      </w:tblGrid>
      <w:tr w:rsidR="008E1B30" w:rsidRPr="008E1B30" w:rsidTr="008E1B30">
        <w:trPr>
          <w:gridAfter w:val="1"/>
          <w:wAfter w:w="9" w:type="pct"/>
        </w:trPr>
        <w:tc>
          <w:tcPr>
            <w:tcW w:w="156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n18"/>
            <w:bookmarkEnd w:id="11"/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</w:tc>
      </w:tr>
      <w:tr w:rsidR="008E1B30" w:rsidRPr="008E1B30" w:rsidTr="008E1B30">
        <w:tc>
          <w:tcPr>
            <w:tcW w:w="5000" w:type="pct"/>
            <w:gridSpan w:val="7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Ефективна система моніторингу нападів на заклади освіти</w:t>
            </w:r>
          </w:p>
        </w:tc>
      </w:tr>
      <w:tr w:rsidR="008E1B30" w:rsidRPr="008E1B30" w:rsidTr="008E1B30">
        <w:trPr>
          <w:gridAfter w:val="1"/>
          <w:wAfter w:w="9" w:type="pct"/>
        </w:trPr>
        <w:tc>
          <w:tcPr>
            <w:tcW w:w="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навчання представників місцевих органів управління освітою 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представників закладів освіти, що розташовані на територіях, які визначені у переліку територій, на яких ведуться (велися) бойові дії або тимчасово окупованих Російською Федерацією, який затверджується </w:t>
            </w:r>
            <w:proofErr w:type="spellStart"/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Мінреінтеграції</w:t>
            </w:r>
            <w:proofErr w:type="spellEnd"/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, щодо моніторингу та інформування про напади на заклади освіти, а також використання їх у військових цілях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рік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 xml:space="preserve">обласні держадміністрації (військові 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адміністрації)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Київська міська держадміністрація (військова адміністрація)</w:t>
            </w:r>
          </w:p>
        </w:tc>
        <w:tc>
          <w:tcPr>
            <w:tcW w:w="1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навчання представників місцевих органів 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освітою та закладів освіти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потребує</w:t>
            </w:r>
          </w:p>
        </w:tc>
      </w:tr>
      <w:tr w:rsidR="008E1B30" w:rsidRPr="008E1B30" w:rsidTr="008E1B30">
        <w:trPr>
          <w:gridAfter w:val="1"/>
          <w:wAfter w:w="9" w:type="pct"/>
        </w:trPr>
        <w:tc>
          <w:tcPr>
            <w:tcW w:w="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Впровадження механізму моніторингу, раннього попередження, міжвідомчої взаємодії та евакуації учасників освітнього процесу у разі нападу або ризику нападу на заклад освіти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МВС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Національна поліція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ДСНС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СБУ (за згодою)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Мінреінтеграції</w:t>
            </w:r>
            <w:proofErr w:type="spellEnd"/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обласні держадміністрації (військові адміністрації)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Київська міська держадміністрація (військова адміністрація)</w:t>
            </w:r>
          </w:p>
        </w:tc>
        <w:tc>
          <w:tcPr>
            <w:tcW w:w="1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запроваджено механізм моніторингу, раннього попередження, міжвідомчої взаємодії та евакуації учасників освітнього процесу у разі нападу або ризику нападу на заклад освіти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8E1B30" w:rsidRPr="008E1B30" w:rsidTr="008E1B30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Захист закладів освіти від нападів та їх відновлення у разі пошкодження</w:t>
            </w:r>
          </w:p>
        </w:tc>
      </w:tr>
      <w:tr w:rsidR="008E1B30" w:rsidRPr="008E1B30" w:rsidTr="008E1B30">
        <w:trPr>
          <w:gridAfter w:val="1"/>
          <w:wAfter w:w="9" w:type="pct"/>
        </w:trPr>
        <w:tc>
          <w:tcPr>
            <w:tcW w:w="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Забезпечення створення безпечних умов у закладах загальної середньої освіти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2024 рік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обласні держадміністрації (військові адміністрації)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Київська міська держадміністрація (військова адміністрація) органи місцевого самоврядування (за згодою)</w:t>
            </w:r>
          </w:p>
        </w:tc>
        <w:tc>
          <w:tcPr>
            <w:tcW w:w="1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у закладах загальної середньої освіти: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забезпечено створення захисних споруд цивільного захисту або проведено їх ремонт;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забезпечено дотримання вимог законодавства у сфері пожежної та техногенної безпеки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 xml:space="preserve">за рахунок субвенції з державного бюджету місцевим бюджетам, а також за рахунок балансоутримувачів закладів освіти в межах асигнувань та видатків, що 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визначено на відповідний рік, за рахунок інших джерел, не заборонених законодавством</w:t>
            </w:r>
          </w:p>
        </w:tc>
      </w:tr>
      <w:tr w:rsidR="008E1B30" w:rsidRPr="008E1B30" w:rsidTr="008E1B30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Забезпечення безперервності навчання</w:t>
            </w:r>
          </w:p>
        </w:tc>
      </w:tr>
      <w:tr w:rsidR="008E1B30" w:rsidRPr="008E1B30" w:rsidTr="008E1B30">
        <w:trPr>
          <w:gridAfter w:val="1"/>
          <w:wAfter w:w="9" w:type="pct"/>
        </w:trPr>
        <w:tc>
          <w:tcPr>
            <w:tcW w:w="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Забезпечення педагогічних працівників закладів загальної середньої освіти необхідними технічними засобами для організації дистанційного навчання, інших форм здобуття загальної середньої освіти з використанням технологій дистанційного навчання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2024 рік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міжнародні організації (за згодою)</w:t>
            </w:r>
          </w:p>
        </w:tc>
        <w:tc>
          <w:tcPr>
            <w:tcW w:w="1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забезпечені комп’ютерною технікою для ефективної організації дистанційного навчання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за рахунок донорської допомоги</w:t>
            </w:r>
          </w:p>
        </w:tc>
      </w:tr>
      <w:tr w:rsidR="008E1B30" w:rsidRPr="008E1B30" w:rsidTr="008E1B30">
        <w:trPr>
          <w:gridAfter w:val="1"/>
          <w:wAfter w:w="9" w:type="pct"/>
        </w:trPr>
        <w:tc>
          <w:tcPr>
            <w:tcW w:w="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Забезпечення психологічного супроводу освітнього процесу та впровадження програм психоемоційної підтримки для учасників освітнього процесу з урахуванням збройного конфлікту та його наслідків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обласні держадміністрації (військові адміністрації)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Київська міська держадміністрація (військова адміністрація) органи місцевого самоврядування (за згодою)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Інститут модернізації змісту освіти (за згодою)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громадські та міжнародні організації (за згодою)</w:t>
            </w:r>
          </w:p>
        </w:tc>
        <w:tc>
          <w:tcPr>
            <w:tcW w:w="1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забезпечено постійний психологічний супровід освітнього процесу та впроваджено програми психоемоційної підтримки для учасників освітнього процесу з урахуванням збройного конфлікту та його наслідків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8E1B30" w:rsidRPr="008E1B30" w:rsidTr="008E1B30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Забезпечення системності підходів до захисту освіти в умовах збройного конфлікту</w:t>
            </w:r>
          </w:p>
        </w:tc>
      </w:tr>
      <w:tr w:rsidR="008E1B30" w:rsidRPr="008E1B30" w:rsidTr="008E1B30">
        <w:trPr>
          <w:gridAfter w:val="1"/>
          <w:wAfter w:w="9" w:type="pct"/>
        </w:trPr>
        <w:tc>
          <w:tcPr>
            <w:tcW w:w="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механізму міжвідомчої взаємодії з координації заходів 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імплементації Декларації про безпеку шкіл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рік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 xml:space="preserve">за участю заінтересованих органів та установ розроблено та надіслано центральним органам 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виконавчої влади і органам місцевого самоврядування відповідні рекомендації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потребує</w:t>
            </w:r>
          </w:p>
        </w:tc>
      </w:tr>
      <w:tr w:rsidR="008E1B30" w:rsidRPr="008E1B30" w:rsidTr="008E1B30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Інформаційна підтримка впровадження положень Декларації про безпеку шкіл</w:t>
            </w:r>
          </w:p>
        </w:tc>
      </w:tr>
      <w:tr w:rsidR="008E1B30" w:rsidRPr="008E1B30" w:rsidTr="008E1B30">
        <w:trPr>
          <w:gridAfter w:val="1"/>
          <w:wAfter w:w="9" w:type="pct"/>
        </w:trPr>
        <w:tc>
          <w:tcPr>
            <w:tcW w:w="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Забезпечення інформування закладів освіти про вимоги Декларації про безпеку шкіл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щороку у III кварталі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надіслано лист МОН;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проведено інформаційні та просвітницькі заходи, зокрема вікторини, конкурси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8E1B30" w:rsidRPr="008E1B30" w:rsidTr="008E1B30">
        <w:trPr>
          <w:gridAfter w:val="1"/>
          <w:wAfter w:w="9" w:type="pct"/>
        </w:trPr>
        <w:tc>
          <w:tcPr>
            <w:tcW w:w="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Забезпечення співпраці з цільовою групою ООН із спостереження та звітності з питань дітей та збройних конфліктів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МЗС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МОН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інші центральні органи виконавчої влади</w:t>
            </w:r>
          </w:p>
        </w:tc>
        <w:tc>
          <w:tcPr>
            <w:tcW w:w="1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подано інформацію про стан захисту прав дітей, включно з атаками на школи та інші заклади освіти, у зв’язку із збройною агресією Російської Федерації проти України за участю цільової групи ООН із спостереження та звітності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8E1B30" w:rsidRPr="008E1B30" w:rsidTr="008E1B30">
        <w:trPr>
          <w:gridAfter w:val="1"/>
          <w:wAfter w:w="9" w:type="pct"/>
        </w:trPr>
        <w:tc>
          <w:tcPr>
            <w:tcW w:w="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Підтримка включення компонента захисту дітей до мандата делегацій та представників України в рамках участі у діяльності ООН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МЗС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МОН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Мінреінтеграції</w:t>
            </w:r>
            <w:proofErr w:type="spellEnd"/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інші центральні органи виконавчої влади</w:t>
            </w:r>
          </w:p>
        </w:tc>
        <w:tc>
          <w:tcPr>
            <w:tcW w:w="1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забезпечено включення питання захисту дітей та закладів освіти в умовах збройних конфліктів до директив, вказівок і технічного завдання делегацій та представників України в рамках участі в діяльності та заходах ООН та її установ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8E1B30" w:rsidRPr="008E1B30" w:rsidTr="008E1B30">
        <w:trPr>
          <w:gridAfter w:val="1"/>
          <w:wAfter w:w="9" w:type="pct"/>
        </w:trPr>
        <w:tc>
          <w:tcPr>
            <w:tcW w:w="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Підтримка співпраці з організаціями та установами ООН з питань дітей та збройних конфліктів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МЗС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інші центральні органи виконавчої влади</w:t>
            </w:r>
          </w:p>
        </w:tc>
        <w:tc>
          <w:tcPr>
            <w:tcW w:w="1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забезпечено сталість міжнародного співробітництва у сфері захисту прав дітей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8E1B30" w:rsidRPr="008E1B30" w:rsidTr="008E1B30">
        <w:trPr>
          <w:gridAfter w:val="1"/>
          <w:wAfter w:w="9" w:type="pct"/>
        </w:trPr>
        <w:tc>
          <w:tcPr>
            <w:tcW w:w="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Інформування міжнародних партнерів України, зокрема на майданчиках ООН, ЄС, НАТО, ОБСЄ та Ради Європи, про здійснення заходів на національному рівні, пов’язаних із дотриманням зобов’язань України за Декларацією про безпеку шкіл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МЗС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МОН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інші центральні органи виконавчої влади</w:t>
            </w:r>
          </w:p>
        </w:tc>
        <w:tc>
          <w:tcPr>
            <w:tcW w:w="1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інформацію про досягнутий Україною прогрес у здійсненні заходів, пов’язаних із дотриманням зобов’язань за Декларацією про безпеку шкіл, включено до позиційних матеріалів, технічних завдань, вказівок та директив делегатів/делегацій України, що брали участь у міжнародних форумах/конференціях/консультаціях/зустрічах з відповідної проблематики, а також донесено 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відома заінтересованої аудиторії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потреб</w:t>
            </w:r>
            <w:bookmarkStart w:id="12" w:name="_GoBack"/>
            <w:bookmarkEnd w:id="12"/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ує</w:t>
            </w:r>
          </w:p>
        </w:tc>
      </w:tr>
      <w:tr w:rsidR="008E1B30" w:rsidRPr="008E1B30" w:rsidTr="008E1B30">
        <w:trPr>
          <w:gridAfter w:val="1"/>
          <w:wAfter w:w="9" w:type="pct"/>
        </w:trPr>
        <w:tc>
          <w:tcPr>
            <w:tcW w:w="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Здійснення заходів щодо обміну інформацією/досвідом з іншими країнами, які приєдналися до Декларації про безпеку шкіл, та взяття участі у заходах з підвищення спроможності заінтересованих сторін щодо впровадження Декларації про безпеку шкіл</w:t>
            </w:r>
          </w:p>
        </w:tc>
        <w:tc>
          <w:tcPr>
            <w:tcW w:w="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МЗС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Мінреінтеграції</w:t>
            </w:r>
            <w:proofErr w:type="spellEnd"/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інші центральні органи виконавчої влади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обласні держадміністрації (військові адміністрації)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Київська міська держадміністрація (військова адміністрація)</w:t>
            </w:r>
            <w:r w:rsidRPr="008E1B30">
              <w:rPr>
                <w:rFonts w:ascii="Times New Roman" w:hAnsi="Times New Roman" w:cs="Times New Roman"/>
                <w:sz w:val="24"/>
                <w:szCs w:val="24"/>
              </w:rPr>
              <w:br/>
              <w:t>Уповноважений Верховної Ради України з прав людини (за згодою)</w:t>
            </w:r>
          </w:p>
        </w:tc>
        <w:tc>
          <w:tcPr>
            <w:tcW w:w="1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забезпечено участь органів виконавчої влади (в межах компетенції) у відповідних заходах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1B30" w:rsidRPr="008E1B30" w:rsidRDefault="008E1B30" w:rsidP="008E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30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</w:tbl>
    <w:p w:rsidR="008E1B30" w:rsidRPr="008E1B30" w:rsidRDefault="008E1B30" w:rsidP="008E1B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3" w:name="n15"/>
      <w:bookmarkEnd w:id="13"/>
      <w:r w:rsidRPr="008E1B30">
        <w:rPr>
          <w:rFonts w:ascii="Times New Roman" w:hAnsi="Times New Roman" w:cs="Times New Roman"/>
          <w:i/>
          <w:iCs/>
          <w:sz w:val="24"/>
          <w:szCs w:val="24"/>
        </w:rPr>
        <w:t>{План заходів із змінами, внесеними згідно з Розпорядженням КМ </w:t>
      </w:r>
      <w:hyperlink r:id="rId10" w:anchor="n4" w:tgtFrame="_blank" w:history="1">
        <w:r w:rsidRPr="008E1B3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№ 655-р від 28.07.2023</w:t>
        </w:r>
      </w:hyperlink>
      <w:r w:rsidRPr="008E1B30">
        <w:rPr>
          <w:rFonts w:ascii="Times New Roman" w:hAnsi="Times New Roman" w:cs="Times New Roman"/>
          <w:i/>
          <w:iCs/>
          <w:sz w:val="24"/>
          <w:szCs w:val="24"/>
        </w:rPr>
        <w:t>; в редакції Розпорядження КМ </w:t>
      </w:r>
      <w:hyperlink r:id="rId11" w:anchor="n13" w:tgtFrame="_blank" w:history="1">
        <w:r w:rsidRPr="008E1B3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№ 278-р від 29.03.2024</w:t>
        </w:r>
      </w:hyperlink>
      <w:r w:rsidRPr="008E1B30">
        <w:rPr>
          <w:rFonts w:ascii="Times New Roman" w:hAnsi="Times New Roman" w:cs="Times New Roman"/>
          <w:i/>
          <w:iCs/>
          <w:sz w:val="24"/>
          <w:szCs w:val="24"/>
        </w:rPr>
        <w:t>}</w:t>
      </w:r>
    </w:p>
    <w:p w:rsidR="005061A8" w:rsidRPr="008E1B30" w:rsidRDefault="005061A8" w:rsidP="008E1B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61A8" w:rsidRPr="008E1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30"/>
    <w:rsid w:val="005061A8"/>
    <w:rsid w:val="008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00A6-32BF-4547-8F80-56788A26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B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8-2024-%D1%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98-2021-%D1%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8-2024-%D1%80" TargetMode="External"/><Relationship Id="rId11" Type="http://schemas.openxmlformats.org/officeDocument/2006/relationships/hyperlink" Target="https://zakon.rada.gov.ua/laws/show/278-2024-%D1%80" TargetMode="External"/><Relationship Id="rId5" Type="http://schemas.openxmlformats.org/officeDocument/2006/relationships/hyperlink" Target="https://zakon.rada.gov.ua/laws/show/655-2023-%D1%80" TargetMode="External"/><Relationship Id="rId10" Type="http://schemas.openxmlformats.org/officeDocument/2006/relationships/hyperlink" Target="https://zakon.rada.gov.ua/laws/show/655-2023-%D1%80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78-2024-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5169</Words>
  <Characters>2947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2024-04-05T08:51:00Z</dcterms:created>
  <dcterms:modified xsi:type="dcterms:W3CDTF">2024-04-05T08:56:00Z</dcterms:modified>
</cp:coreProperties>
</file>